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D8" w:rsidRPr="00277B35" w:rsidRDefault="00EB27D8" w:rsidP="0052001C">
      <w:pPr>
        <w:pStyle w:val="Default"/>
        <w:spacing w:after="60"/>
        <w:ind w:right="-8"/>
        <w:jc w:val="center"/>
        <w:rPr>
          <w:rFonts w:cs="Times New Roman"/>
          <w:b/>
          <w:u w:val="single"/>
          <w:lang w:val="en-US"/>
        </w:rPr>
      </w:pPr>
      <w:bookmarkStart w:id="0" w:name="_GoBack"/>
      <w:bookmarkEnd w:id="0"/>
    </w:p>
    <w:p w:rsidR="00EB27D8" w:rsidRPr="00277B35" w:rsidRDefault="00277B35" w:rsidP="00587CF6">
      <w:pPr>
        <w:spacing w:after="120"/>
        <w:ind w:right="-8"/>
        <w:rPr>
          <w:rFonts w:ascii="Garamond" w:eastAsia="MS Mincho" w:hAnsi="Garamond"/>
          <w:b/>
          <w:color w:val="000000"/>
          <w:u w:val="single"/>
        </w:rPr>
      </w:pPr>
      <w:r w:rsidRPr="00277B35">
        <w:rPr>
          <w:b/>
          <w:u w:val="single"/>
          <w:shd w:val="clear" w:color="auto" w:fill="FFFFFF"/>
        </w:rPr>
        <w:t>Protection of Fundamental Rights in the EU</w:t>
      </w:r>
    </w:p>
    <w:p w:rsidR="0052001C" w:rsidRPr="0052001C" w:rsidRDefault="0052001C" w:rsidP="00587CF6">
      <w:pPr>
        <w:spacing w:after="120"/>
        <w:ind w:right="-8"/>
        <w:rPr>
          <w:rFonts w:ascii="Garamond" w:eastAsia="MS Mincho" w:hAnsi="Garamond"/>
          <w:color w:val="000000"/>
        </w:rPr>
      </w:pPr>
    </w:p>
    <w:p w:rsidR="00EB27D8" w:rsidRPr="0052001C" w:rsidRDefault="00EB27D8" w:rsidP="00587CF6">
      <w:pPr>
        <w:ind w:right="-8"/>
        <w:rPr>
          <w:rFonts w:ascii="Garamond" w:hAnsi="Garamond"/>
          <w:b/>
        </w:rPr>
      </w:pPr>
      <w:r w:rsidRPr="0052001C">
        <w:rPr>
          <w:rFonts w:ascii="Garamond" w:hAnsi="Garamond"/>
          <w:b/>
        </w:rPr>
        <w:t xml:space="preserve">Dr. </w:t>
      </w:r>
      <w:r w:rsidR="00586D3A" w:rsidRPr="0052001C">
        <w:rPr>
          <w:rFonts w:ascii="Garamond" w:hAnsi="Garamond"/>
          <w:b/>
        </w:rPr>
        <w:t>Petra JENEY</w:t>
      </w:r>
    </w:p>
    <w:p w:rsidR="00EB27D8" w:rsidRPr="0052001C" w:rsidRDefault="00EB27D8" w:rsidP="00587CF6">
      <w:pPr>
        <w:ind w:right="-8"/>
        <w:rPr>
          <w:rFonts w:ascii="Garamond" w:hAnsi="Garamond"/>
          <w:b/>
        </w:rPr>
      </w:pPr>
      <w:r w:rsidRPr="0052001C">
        <w:rPr>
          <w:rFonts w:ascii="Garamond" w:hAnsi="Garamond"/>
          <w:b/>
        </w:rPr>
        <w:t>Ass</w:t>
      </w:r>
      <w:r w:rsidR="00121FD4" w:rsidRPr="0052001C">
        <w:rPr>
          <w:rFonts w:ascii="Garamond" w:hAnsi="Garamond"/>
          <w:b/>
        </w:rPr>
        <w:t>istant</w:t>
      </w:r>
      <w:r w:rsidRPr="0052001C">
        <w:rPr>
          <w:rFonts w:ascii="Garamond" w:hAnsi="Garamond"/>
          <w:b/>
        </w:rPr>
        <w:t xml:space="preserve"> Professor</w:t>
      </w:r>
    </w:p>
    <w:p w:rsidR="00EB27D8" w:rsidRPr="0052001C" w:rsidRDefault="00EB27D8" w:rsidP="00587CF6">
      <w:pPr>
        <w:ind w:right="-8"/>
        <w:rPr>
          <w:rFonts w:ascii="Garamond" w:hAnsi="Garamond"/>
          <w:b/>
        </w:rPr>
      </w:pPr>
      <w:r w:rsidRPr="0052001C">
        <w:rPr>
          <w:rFonts w:ascii="Garamond" w:eastAsia="MS Mincho" w:hAnsi="Garamond"/>
          <w:b/>
          <w:bCs/>
        </w:rPr>
        <w:t>Department of International Law (ELTE)</w:t>
      </w:r>
    </w:p>
    <w:p w:rsidR="00EB27D8" w:rsidRPr="0052001C" w:rsidRDefault="00EB27D8" w:rsidP="00587CF6">
      <w:pPr>
        <w:pStyle w:val="Default"/>
        <w:spacing w:after="60"/>
        <w:ind w:right="-8"/>
        <w:jc w:val="both"/>
        <w:rPr>
          <w:rFonts w:cs="Times New Roman"/>
        </w:rPr>
      </w:pPr>
    </w:p>
    <w:p w:rsidR="00587CF6" w:rsidRPr="0052001C" w:rsidRDefault="00587CF6" w:rsidP="00587CF6">
      <w:pPr>
        <w:ind w:right="-8"/>
        <w:jc w:val="both"/>
        <w:rPr>
          <w:rFonts w:ascii="Garamond" w:hAnsi="Garamond" w:cs="Arial"/>
          <w:b/>
          <w:color w:val="000000"/>
          <w:lang w:val="hu-HU"/>
        </w:rPr>
      </w:pPr>
    </w:p>
    <w:p w:rsidR="00587CF6" w:rsidRPr="0052001C" w:rsidRDefault="00587CF6" w:rsidP="00587CF6">
      <w:pPr>
        <w:ind w:right="-8"/>
        <w:jc w:val="both"/>
        <w:rPr>
          <w:rFonts w:ascii="Garamond" w:hAnsi="Garamond" w:cs="Arial"/>
          <w:b/>
          <w:color w:val="000000"/>
          <w:lang w:val="hu-HU"/>
        </w:rPr>
      </w:pPr>
    </w:p>
    <w:p w:rsidR="00277B35" w:rsidRDefault="00E25A32" w:rsidP="00E25A32">
      <w:pPr>
        <w:spacing w:after="120" w:line="320" w:lineRule="exact"/>
        <w:jc w:val="both"/>
        <w:rPr>
          <w:rFonts w:ascii="Garamond" w:hAnsi="Garamond"/>
        </w:rPr>
      </w:pPr>
      <w:r w:rsidRPr="00E25A32">
        <w:rPr>
          <w:rFonts w:ascii="Garamond" w:hAnsi="Garamond"/>
          <w:b/>
        </w:rPr>
        <w:t xml:space="preserve">Course </w:t>
      </w:r>
      <w:r w:rsidR="00277B35">
        <w:rPr>
          <w:rFonts w:ascii="Garamond" w:hAnsi="Garamond"/>
          <w:b/>
        </w:rPr>
        <w:t>description</w:t>
      </w:r>
    </w:p>
    <w:p w:rsidR="00E25A32" w:rsidRPr="00E25A32" w:rsidRDefault="00E25A32" w:rsidP="00E25A32">
      <w:pPr>
        <w:spacing w:after="120" w:line="320" w:lineRule="exact"/>
        <w:jc w:val="both"/>
        <w:rPr>
          <w:rFonts w:ascii="Garamond" w:hAnsi="Garamond"/>
        </w:rPr>
      </w:pPr>
      <w:r w:rsidRPr="00E25A32">
        <w:rPr>
          <w:rFonts w:ascii="Garamond" w:hAnsi="Garamond"/>
        </w:rPr>
        <w:t xml:space="preserve">Building on the general introduction on the Council of Europe and the 1950 </w:t>
      </w:r>
      <w:r w:rsidRPr="00E25A32">
        <w:rPr>
          <w:rFonts w:ascii="Garamond" w:hAnsi="Garamond"/>
          <w:iCs/>
        </w:rPr>
        <w:t xml:space="preserve">Convention for the Protection of Human Rights and Fundamental Freedoms, known as the European Convention on Human Rights (ECHR), the aim of this course is to draw the horizon of the rights protected under this instrument. In this vain the course aims provide a solid base for understanding the European system of protecting fundamental rights. </w:t>
      </w:r>
      <w:r w:rsidRPr="00E25A32">
        <w:rPr>
          <w:rFonts w:ascii="Garamond" w:hAnsi="Garamond"/>
        </w:rPr>
        <w:t xml:space="preserve">The primary focus of the course is to introduce the scope and ambit of the rights protected by the ECHR as interpreted by the European Court of Human Rights (ECtHR). Among others the right to life and the prohibition of torture, the right to liberty and security, the right to fair trial, the right to privacy, </w:t>
      </w:r>
      <w:proofErr w:type="gramStart"/>
      <w:r w:rsidRPr="00E25A32">
        <w:rPr>
          <w:rFonts w:ascii="Garamond" w:hAnsi="Garamond"/>
        </w:rPr>
        <w:t>freedom</w:t>
      </w:r>
      <w:proofErr w:type="gramEnd"/>
      <w:r w:rsidRPr="00E25A32">
        <w:rPr>
          <w:rFonts w:ascii="Garamond" w:hAnsi="Garamond"/>
        </w:rPr>
        <w:t xml:space="preserve"> of expression, freedom of conscience and religion, right to effective remedy and the principle of non-discrimination will be discussed in detail. In analyzing the rights protected under the auspices of ECHR methods of interpretation as applied by the ECtHR will be duly considered and the derogations offered by the Convention itself will be mapped out as well. Understanding the mechanism of protection provided by the ECHR and the interpretative technique will be facilitated with case studies and analyzing of ECtHR judgments</w:t>
      </w:r>
    </w:p>
    <w:p w:rsidR="00E25A32" w:rsidRPr="00E25A32" w:rsidRDefault="00E25A32" w:rsidP="00E25A32">
      <w:pPr>
        <w:spacing w:after="120" w:line="320" w:lineRule="exact"/>
        <w:rPr>
          <w:rStyle w:val="mw-headline"/>
          <w:rFonts w:ascii="Garamond" w:hAnsi="Garamond"/>
          <w:b/>
          <w:lang w:val="en-GB"/>
        </w:rPr>
      </w:pPr>
    </w:p>
    <w:p w:rsidR="00277B35" w:rsidRDefault="00277B35" w:rsidP="00E25A32">
      <w:pPr>
        <w:spacing w:after="120" w:line="320" w:lineRule="exact"/>
        <w:jc w:val="both"/>
        <w:rPr>
          <w:rStyle w:val="mw-headline"/>
          <w:rFonts w:ascii="Garamond" w:hAnsi="Garamond"/>
          <w:b/>
          <w:lang w:val="en-GB"/>
        </w:rPr>
      </w:pPr>
      <w:r>
        <w:rPr>
          <w:rStyle w:val="mw-headline"/>
          <w:rFonts w:ascii="Garamond" w:hAnsi="Garamond"/>
          <w:b/>
          <w:lang w:val="en-GB"/>
        </w:rPr>
        <w:t>Competences</w:t>
      </w:r>
    </w:p>
    <w:p w:rsidR="00E25A32" w:rsidRPr="00E25A32" w:rsidRDefault="00E25A32" w:rsidP="00E25A32">
      <w:pPr>
        <w:spacing w:after="120" w:line="320" w:lineRule="exact"/>
        <w:jc w:val="both"/>
        <w:rPr>
          <w:rFonts w:ascii="Garamond" w:hAnsi="Garamond"/>
        </w:rPr>
      </w:pPr>
      <w:r w:rsidRPr="00E25A32">
        <w:rPr>
          <w:rStyle w:val="mw-headline"/>
          <w:rFonts w:ascii="Garamond" w:hAnsi="Garamond"/>
          <w:b/>
          <w:lang w:val="en-GB"/>
        </w:rPr>
        <w:t xml:space="preserve"> </w:t>
      </w:r>
      <w:r w:rsidRPr="00E25A32">
        <w:rPr>
          <w:rFonts w:ascii="Garamond" w:hAnsi="Garamond"/>
          <w:lang w:val="en-GB"/>
        </w:rPr>
        <w:t xml:space="preserve">The primary objective of the course is to enable the students to gain a horizontal understanding and appreciation of the concrete rights protected under the ECHR and the corresponding case law of the ECtHR. Students will gain an in-depth insight on the substantive protection provided by the ECHR on the one hand and to understand the contribution of the ECtHR on the other. Competences acquired in this course will include the ability to distinguishing matters triggering protection under the ECHR from those which fall outside of its scope, the ability to identify the major issues related to the scope, interpretation and derogations of a certain right under the ECHR. Students will be also </w:t>
      </w:r>
      <w:r w:rsidRPr="00E25A32">
        <w:rPr>
          <w:rFonts w:ascii="Garamond" w:hAnsi="Garamond"/>
          <w:lang w:val="en-GB"/>
        </w:rPr>
        <w:lastRenderedPageBreak/>
        <w:t>familiar with the ECtHR’s corresponding case law and will be able to link that case law to national practices.</w:t>
      </w:r>
    </w:p>
    <w:p w:rsidR="00E25A32" w:rsidRPr="00E25A32" w:rsidRDefault="00E25A32" w:rsidP="00E25A32">
      <w:pPr>
        <w:spacing w:after="120" w:line="320" w:lineRule="exact"/>
        <w:rPr>
          <w:rFonts w:ascii="Garamond" w:hAnsi="Garamond"/>
        </w:rPr>
      </w:pPr>
    </w:p>
    <w:p w:rsidR="00277B35" w:rsidRDefault="00277B35" w:rsidP="00E25A32">
      <w:pPr>
        <w:spacing w:after="120" w:line="320" w:lineRule="exact"/>
        <w:jc w:val="both"/>
        <w:rPr>
          <w:rFonts w:ascii="Garamond" w:hAnsi="Garamond"/>
          <w:b/>
        </w:rPr>
      </w:pPr>
      <w:r>
        <w:rPr>
          <w:rFonts w:ascii="Garamond" w:hAnsi="Garamond"/>
          <w:b/>
        </w:rPr>
        <w:t>Assessment</w:t>
      </w:r>
    </w:p>
    <w:p w:rsidR="00E25A32" w:rsidRPr="00E25A32" w:rsidRDefault="00E25A32" w:rsidP="00E25A32">
      <w:pPr>
        <w:spacing w:after="120" w:line="320" w:lineRule="exact"/>
        <w:jc w:val="both"/>
        <w:rPr>
          <w:rFonts w:ascii="Garamond" w:hAnsi="Garamond"/>
        </w:rPr>
      </w:pPr>
      <w:r w:rsidRPr="00E25A32">
        <w:rPr>
          <w:rFonts w:ascii="Garamond" w:hAnsi="Garamond"/>
        </w:rPr>
        <w:t xml:space="preserve">Students are expected to do the coursework properly, regularly attend the classes and not to be absent from more than one class. Students who are to receive grades are required to prepare one presentation on a specific topic during the term and sit for an exam at the end of the term. </w:t>
      </w:r>
    </w:p>
    <w:p w:rsidR="00E25A32" w:rsidRPr="00E25A32" w:rsidRDefault="00277B35" w:rsidP="00E25A32">
      <w:pPr>
        <w:spacing w:after="120" w:line="320" w:lineRule="exact"/>
        <w:rPr>
          <w:rFonts w:ascii="Garamond" w:hAnsi="Garamond"/>
        </w:rPr>
      </w:pPr>
      <w:r>
        <w:rPr>
          <w:rFonts w:ascii="Garamond" w:hAnsi="Garamond"/>
        </w:rPr>
        <w:t>Schedule:</w:t>
      </w:r>
    </w:p>
    <w:p w:rsidR="00E25A32" w:rsidRPr="00E25A32" w:rsidRDefault="00E25A32" w:rsidP="00E25A32">
      <w:pPr>
        <w:rPr>
          <w:rFonts w:ascii="Garamond" w:hAnsi="Garamond"/>
          <w:b/>
        </w:rPr>
      </w:pPr>
      <w:r w:rsidRPr="00E25A32">
        <w:rPr>
          <w:rFonts w:ascii="Garamond" w:hAnsi="Garamond"/>
          <w:b/>
          <w:highlight w:val="lightGray"/>
        </w:rPr>
        <w:t>Seminar 1-2.</w:t>
      </w:r>
      <w:r w:rsidRPr="00E25A32">
        <w:rPr>
          <w:rFonts w:ascii="Garamond" w:hAnsi="Garamond"/>
          <w:b/>
        </w:rPr>
        <w:tab/>
      </w:r>
      <w:r w:rsidRPr="00E25A32">
        <w:rPr>
          <w:rFonts w:ascii="Garamond" w:hAnsi="Garamond"/>
          <w:b/>
        </w:rPr>
        <w:tab/>
        <w:t>General introduction, the system of protection</w:t>
      </w:r>
    </w:p>
    <w:p w:rsidR="00E25A32" w:rsidRPr="00E25A32" w:rsidRDefault="00E25A32" w:rsidP="00E25A32">
      <w:pPr>
        <w:rPr>
          <w:rFonts w:ascii="Garamond" w:hAnsi="Garamond"/>
          <w:b/>
        </w:rPr>
      </w:pPr>
    </w:p>
    <w:p w:rsidR="00E25A32" w:rsidRPr="00E25A32" w:rsidRDefault="00E25A32" w:rsidP="00E25A32">
      <w:pPr>
        <w:rPr>
          <w:rFonts w:ascii="Garamond" w:hAnsi="Garamond"/>
          <w:b/>
        </w:rPr>
      </w:pPr>
      <w:r w:rsidRPr="00E25A32">
        <w:rPr>
          <w:rFonts w:ascii="Garamond" w:hAnsi="Garamond"/>
          <w:b/>
          <w:highlight w:val="lightGray"/>
        </w:rPr>
        <w:t>Seminar 3-4.</w:t>
      </w:r>
      <w:r w:rsidRPr="00E25A32">
        <w:rPr>
          <w:rFonts w:ascii="Garamond" w:hAnsi="Garamond"/>
          <w:b/>
        </w:rPr>
        <w:tab/>
      </w:r>
      <w:r w:rsidRPr="00E25A32">
        <w:rPr>
          <w:rFonts w:ascii="Garamond" w:hAnsi="Garamond"/>
          <w:b/>
        </w:rPr>
        <w:tab/>
        <w:t xml:space="preserve">Civil and political rights </w:t>
      </w:r>
      <w:proofErr w:type="gramStart"/>
      <w:r w:rsidRPr="00E25A32">
        <w:rPr>
          <w:rFonts w:ascii="Garamond" w:hAnsi="Garamond"/>
          <w:b/>
        </w:rPr>
        <w:t>I</w:t>
      </w:r>
      <w:proofErr w:type="gramEnd"/>
      <w:r w:rsidRPr="00E25A32">
        <w:rPr>
          <w:rFonts w:ascii="Garamond" w:hAnsi="Garamond"/>
          <w:b/>
        </w:rPr>
        <w:t>.</w:t>
      </w:r>
    </w:p>
    <w:p w:rsidR="00E25A32" w:rsidRPr="00E25A32" w:rsidRDefault="00E25A32" w:rsidP="00E25A32">
      <w:pPr>
        <w:rPr>
          <w:rFonts w:ascii="Garamond" w:hAnsi="Garamond"/>
          <w:b/>
        </w:rPr>
      </w:pPr>
    </w:p>
    <w:p w:rsidR="00E25A32" w:rsidRPr="00E25A32" w:rsidRDefault="00E25A32" w:rsidP="00E25A32">
      <w:pPr>
        <w:rPr>
          <w:rFonts w:ascii="Garamond" w:hAnsi="Garamond"/>
          <w:b/>
        </w:rPr>
      </w:pPr>
      <w:r w:rsidRPr="00E25A32">
        <w:rPr>
          <w:rFonts w:ascii="Garamond" w:hAnsi="Garamond"/>
          <w:b/>
          <w:highlight w:val="lightGray"/>
        </w:rPr>
        <w:t>Seminar 5-6.</w:t>
      </w:r>
      <w:r w:rsidRPr="00E25A32">
        <w:rPr>
          <w:rFonts w:ascii="Garamond" w:hAnsi="Garamond"/>
          <w:b/>
        </w:rPr>
        <w:tab/>
      </w:r>
      <w:r w:rsidRPr="00E25A32">
        <w:rPr>
          <w:rFonts w:ascii="Garamond" w:hAnsi="Garamond"/>
          <w:b/>
        </w:rPr>
        <w:tab/>
        <w:t>Civil and political rights II.</w:t>
      </w:r>
    </w:p>
    <w:p w:rsidR="00E25A32" w:rsidRPr="00E25A32" w:rsidRDefault="00E25A32" w:rsidP="00E25A32">
      <w:pPr>
        <w:rPr>
          <w:rFonts w:ascii="Garamond" w:hAnsi="Garamond"/>
          <w:b/>
        </w:rPr>
      </w:pPr>
    </w:p>
    <w:p w:rsidR="00E25A32" w:rsidRPr="00E25A32" w:rsidRDefault="00E25A32" w:rsidP="00E25A32">
      <w:pPr>
        <w:rPr>
          <w:rFonts w:ascii="Garamond" w:hAnsi="Garamond"/>
          <w:b/>
        </w:rPr>
      </w:pPr>
      <w:r w:rsidRPr="00E25A32">
        <w:rPr>
          <w:rFonts w:ascii="Garamond" w:hAnsi="Garamond"/>
          <w:b/>
          <w:highlight w:val="lightGray"/>
        </w:rPr>
        <w:t>Seminar 7-8.</w:t>
      </w:r>
      <w:r w:rsidRPr="00E25A32">
        <w:rPr>
          <w:rFonts w:ascii="Garamond" w:hAnsi="Garamond"/>
          <w:b/>
        </w:rPr>
        <w:tab/>
      </w:r>
      <w:r w:rsidRPr="00E25A32">
        <w:rPr>
          <w:rFonts w:ascii="Garamond" w:hAnsi="Garamond"/>
          <w:b/>
        </w:rPr>
        <w:tab/>
        <w:t>Economic and social rights</w:t>
      </w:r>
    </w:p>
    <w:p w:rsidR="00E25A32" w:rsidRPr="00E25A32" w:rsidRDefault="00E25A32" w:rsidP="00E25A32">
      <w:pPr>
        <w:rPr>
          <w:rFonts w:ascii="Garamond" w:hAnsi="Garamond"/>
          <w:b/>
        </w:rPr>
      </w:pPr>
    </w:p>
    <w:p w:rsidR="00E25A32" w:rsidRPr="00E25A32" w:rsidRDefault="00E25A32" w:rsidP="00E25A32">
      <w:pPr>
        <w:rPr>
          <w:rFonts w:ascii="Garamond" w:hAnsi="Garamond"/>
          <w:b/>
        </w:rPr>
      </w:pPr>
      <w:r w:rsidRPr="00E25A32">
        <w:rPr>
          <w:rFonts w:ascii="Garamond" w:hAnsi="Garamond"/>
          <w:b/>
          <w:highlight w:val="lightGray"/>
        </w:rPr>
        <w:t>Seminar 9-10</w:t>
      </w:r>
      <w:r w:rsidRPr="00E25A32">
        <w:rPr>
          <w:rFonts w:ascii="Garamond" w:hAnsi="Garamond"/>
          <w:b/>
        </w:rPr>
        <w:t>.</w:t>
      </w:r>
      <w:r w:rsidRPr="00E25A32">
        <w:rPr>
          <w:rFonts w:ascii="Garamond" w:hAnsi="Garamond"/>
          <w:b/>
        </w:rPr>
        <w:tab/>
      </w:r>
      <w:r w:rsidRPr="00E25A32">
        <w:rPr>
          <w:rFonts w:ascii="Garamond" w:hAnsi="Garamond"/>
          <w:b/>
        </w:rPr>
        <w:tab/>
        <w:t>Specific protection</w:t>
      </w:r>
    </w:p>
    <w:p w:rsidR="00E25A32" w:rsidRPr="00E25A32" w:rsidRDefault="00E25A32" w:rsidP="00E25A32">
      <w:pPr>
        <w:rPr>
          <w:rFonts w:ascii="Garamond" w:hAnsi="Garamond"/>
          <w:i/>
        </w:rPr>
      </w:pPr>
      <w:r w:rsidRPr="00E25A32">
        <w:rPr>
          <w:rFonts w:ascii="Garamond" w:hAnsi="Garamond"/>
          <w:b/>
          <w:i/>
        </w:rPr>
        <w:tab/>
      </w:r>
      <w:r w:rsidRPr="00E25A32">
        <w:rPr>
          <w:rFonts w:ascii="Garamond" w:hAnsi="Garamond"/>
          <w:b/>
          <w:i/>
        </w:rPr>
        <w:tab/>
      </w:r>
      <w:r w:rsidRPr="00E25A32">
        <w:rPr>
          <w:rFonts w:ascii="Garamond" w:hAnsi="Garamond"/>
          <w:b/>
          <w:i/>
        </w:rPr>
        <w:tab/>
      </w:r>
      <w:r w:rsidRPr="00E25A32">
        <w:rPr>
          <w:rFonts w:ascii="Garamond" w:hAnsi="Garamond"/>
          <w:i/>
        </w:rPr>
        <w:t>Right of parties to court proceedings</w:t>
      </w:r>
    </w:p>
    <w:p w:rsidR="00E25A32" w:rsidRPr="00E25A32" w:rsidRDefault="00277B35" w:rsidP="00E25A32">
      <w:pPr>
        <w:rPr>
          <w:rFonts w:ascii="Garamond" w:hAnsi="Garamond"/>
          <w:i/>
        </w:rPr>
      </w:pPr>
      <w:r>
        <w:rPr>
          <w:rFonts w:ascii="Garamond" w:hAnsi="Garamond"/>
          <w:i/>
        </w:rPr>
        <w:tab/>
      </w:r>
      <w:r>
        <w:rPr>
          <w:rFonts w:ascii="Garamond" w:hAnsi="Garamond"/>
          <w:i/>
        </w:rPr>
        <w:tab/>
      </w:r>
      <w:r>
        <w:rPr>
          <w:rFonts w:ascii="Garamond" w:hAnsi="Garamond"/>
          <w:i/>
        </w:rPr>
        <w:tab/>
      </w:r>
      <w:r w:rsidR="00E25A32" w:rsidRPr="00E25A32">
        <w:rPr>
          <w:rFonts w:ascii="Garamond" w:hAnsi="Garamond"/>
          <w:i/>
        </w:rPr>
        <w:t>Protection of aliens</w:t>
      </w:r>
    </w:p>
    <w:p w:rsidR="00E25A32" w:rsidRPr="00E25A32" w:rsidRDefault="00E25A32" w:rsidP="00E25A32">
      <w:pPr>
        <w:spacing w:after="120" w:line="320" w:lineRule="exact"/>
        <w:rPr>
          <w:rFonts w:ascii="Garamond" w:hAnsi="Garamond"/>
          <w:b/>
        </w:rPr>
      </w:pPr>
      <w:r w:rsidRPr="00E25A32">
        <w:rPr>
          <w:rFonts w:ascii="Garamond" w:hAnsi="Garamond"/>
          <w:b/>
        </w:rPr>
        <w:t>Exam</w:t>
      </w:r>
    </w:p>
    <w:p w:rsidR="00E25A32" w:rsidRPr="00E25A32" w:rsidRDefault="00E25A32" w:rsidP="00E25A32">
      <w:pPr>
        <w:spacing w:after="120" w:line="320" w:lineRule="exact"/>
        <w:rPr>
          <w:rFonts w:ascii="Garamond" w:hAnsi="Garamond"/>
        </w:rPr>
      </w:pPr>
    </w:p>
    <w:p w:rsidR="00DB0403" w:rsidRPr="00E25A32" w:rsidRDefault="00277B35" w:rsidP="00E25A32">
      <w:pPr>
        <w:spacing w:after="120" w:line="320" w:lineRule="exact"/>
        <w:jc w:val="both"/>
        <w:rPr>
          <w:rFonts w:ascii="Garamond" w:hAnsi="Garamond"/>
        </w:rPr>
      </w:pPr>
    </w:p>
    <w:sectPr w:rsidR="00DB0403" w:rsidRPr="00E25A32"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CC" w:rsidRDefault="00091FCC" w:rsidP="00B267E0">
      <w:r>
        <w:separator/>
      </w:r>
    </w:p>
  </w:endnote>
  <w:endnote w:type="continuationSeparator" w:id="0">
    <w:p w:rsidR="00091FCC" w:rsidRDefault="00091FCC"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proofErr w:type="spellStart"/>
    <w:r w:rsidRPr="008B5240">
      <w:rPr>
        <w:rFonts w:ascii="Garamond" w:hAnsi="Garamond"/>
        <w:color w:val="3B3C3B"/>
        <w:sz w:val="16"/>
        <w:szCs w:val="16"/>
      </w:rPr>
      <w:t>Eötvös</w:t>
    </w:r>
    <w:proofErr w:type="spellEnd"/>
    <w:r w:rsidRPr="008B5240">
      <w:rPr>
        <w:rFonts w:ascii="Garamond" w:hAnsi="Garamond"/>
        <w:color w:val="3B3C3B"/>
        <w:sz w:val="16"/>
        <w:szCs w:val="16"/>
      </w:rPr>
      <w:t xml:space="preserve"> </w:t>
    </w:r>
    <w:proofErr w:type="spellStart"/>
    <w:r w:rsidRPr="008B5240">
      <w:rPr>
        <w:rFonts w:ascii="Garamond" w:hAnsi="Garamond"/>
        <w:color w:val="3B3C3B"/>
        <w:sz w:val="16"/>
        <w:szCs w:val="16"/>
      </w:rPr>
      <w:t>Loránd</w:t>
    </w:r>
    <w:proofErr w:type="spellEnd"/>
    <w:r w:rsidRPr="008B5240">
      <w:rPr>
        <w:rFonts w:ascii="Garamond" w:hAnsi="Garamond"/>
        <w:color w:val="3B3C3B"/>
        <w:sz w:val="16"/>
        <w:szCs w:val="16"/>
      </w:rPr>
      <w:t xml:space="preserve">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proofErr w:type="spellStart"/>
    <w:r w:rsidRPr="008B5240">
      <w:rPr>
        <w:rFonts w:ascii="Garamond" w:hAnsi="Garamond"/>
        <w:color w:val="3B3C3B"/>
        <w:sz w:val="16"/>
        <w:szCs w:val="16"/>
      </w:rPr>
      <w:t>Eötvös</w:t>
    </w:r>
    <w:proofErr w:type="spellEnd"/>
    <w:r w:rsidRPr="008B5240">
      <w:rPr>
        <w:rFonts w:ascii="Garamond" w:hAnsi="Garamond"/>
        <w:color w:val="3B3C3B"/>
        <w:sz w:val="16"/>
        <w:szCs w:val="16"/>
      </w:rPr>
      <w:t xml:space="preserve"> </w:t>
    </w:r>
    <w:proofErr w:type="spellStart"/>
    <w:r w:rsidRPr="008B5240">
      <w:rPr>
        <w:rFonts w:ascii="Garamond" w:hAnsi="Garamond"/>
        <w:color w:val="3B3C3B"/>
        <w:sz w:val="16"/>
        <w:szCs w:val="16"/>
      </w:rPr>
      <w:t>Loránd</w:t>
    </w:r>
    <w:proofErr w:type="spellEnd"/>
    <w:r w:rsidRPr="008B5240">
      <w:rPr>
        <w:rFonts w:ascii="Garamond" w:hAnsi="Garamond"/>
        <w:color w:val="3B3C3B"/>
        <w:sz w:val="16"/>
        <w:szCs w:val="16"/>
      </w:rPr>
      <w:t xml:space="preserve">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CC" w:rsidRDefault="00091FCC" w:rsidP="00B267E0">
      <w:r>
        <w:separator/>
      </w:r>
    </w:p>
  </w:footnote>
  <w:footnote w:type="continuationSeparator" w:id="0">
    <w:p w:rsidR="00091FCC" w:rsidRDefault="00091FCC"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2772E"/>
    <w:rsid w:val="00051DAB"/>
    <w:rsid w:val="00091FCC"/>
    <w:rsid w:val="000D64FA"/>
    <w:rsid w:val="000F4C47"/>
    <w:rsid w:val="00114A03"/>
    <w:rsid w:val="00121FD4"/>
    <w:rsid w:val="001529C6"/>
    <w:rsid w:val="001F5012"/>
    <w:rsid w:val="00223741"/>
    <w:rsid w:val="00237530"/>
    <w:rsid w:val="00277B35"/>
    <w:rsid w:val="00294CD6"/>
    <w:rsid w:val="002B4EEE"/>
    <w:rsid w:val="002F1D90"/>
    <w:rsid w:val="00303561"/>
    <w:rsid w:val="00305613"/>
    <w:rsid w:val="00367257"/>
    <w:rsid w:val="003D6EAA"/>
    <w:rsid w:val="00462F46"/>
    <w:rsid w:val="004D76B1"/>
    <w:rsid w:val="0052001C"/>
    <w:rsid w:val="0056227C"/>
    <w:rsid w:val="00586D3A"/>
    <w:rsid w:val="00587CF6"/>
    <w:rsid w:val="005F04CD"/>
    <w:rsid w:val="006446AC"/>
    <w:rsid w:val="00677121"/>
    <w:rsid w:val="0067715E"/>
    <w:rsid w:val="006B227C"/>
    <w:rsid w:val="006F0F1C"/>
    <w:rsid w:val="006F5386"/>
    <w:rsid w:val="0070107A"/>
    <w:rsid w:val="007137E3"/>
    <w:rsid w:val="00750788"/>
    <w:rsid w:val="00787A32"/>
    <w:rsid w:val="007B7906"/>
    <w:rsid w:val="007C74F8"/>
    <w:rsid w:val="007D05AD"/>
    <w:rsid w:val="007E16CE"/>
    <w:rsid w:val="00840008"/>
    <w:rsid w:val="00845CC4"/>
    <w:rsid w:val="008B5240"/>
    <w:rsid w:val="008B54EF"/>
    <w:rsid w:val="009C466E"/>
    <w:rsid w:val="00A52FC1"/>
    <w:rsid w:val="00A76B76"/>
    <w:rsid w:val="00AA51F3"/>
    <w:rsid w:val="00AC2DB2"/>
    <w:rsid w:val="00B01026"/>
    <w:rsid w:val="00BD2CB0"/>
    <w:rsid w:val="00C24D2A"/>
    <w:rsid w:val="00C55F2A"/>
    <w:rsid w:val="00C93D42"/>
    <w:rsid w:val="00CA607F"/>
    <w:rsid w:val="00CB1F23"/>
    <w:rsid w:val="00CF24C9"/>
    <w:rsid w:val="00CF7F87"/>
    <w:rsid w:val="00D10183"/>
    <w:rsid w:val="00D23A4B"/>
    <w:rsid w:val="00D7293C"/>
    <w:rsid w:val="00D87407"/>
    <w:rsid w:val="00DA3EFA"/>
    <w:rsid w:val="00DF5787"/>
    <w:rsid w:val="00E25A32"/>
    <w:rsid w:val="00E26E2D"/>
    <w:rsid w:val="00E93FAF"/>
    <w:rsid w:val="00EB27D8"/>
    <w:rsid w:val="00ED40C1"/>
    <w:rsid w:val="00F13C32"/>
    <w:rsid w:val="00FB69B7"/>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mw-headline">
    <w:name w:val="mw-headline"/>
    <w:basedOn w:val="Bekezdsalapbettpusa"/>
    <w:uiPriority w:val="99"/>
    <w:rsid w:val="00587CF6"/>
    <w:rPr>
      <w:rFonts w:cs="Times New Roman"/>
    </w:rPr>
  </w:style>
  <w:style w:type="paragraph" w:customStyle="1" w:styleId="CharChar1CharCharCharChar">
    <w:name w:val="Char Char1 Char Char Char Char"/>
    <w:basedOn w:val="Norml"/>
    <w:rsid w:val="0052001C"/>
    <w:pPr>
      <w:spacing w:after="160" w:line="240" w:lineRule="exact"/>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mw-headline">
    <w:name w:val="mw-headline"/>
    <w:basedOn w:val="Bekezdsalapbettpusa"/>
    <w:uiPriority w:val="99"/>
    <w:rsid w:val="00587CF6"/>
    <w:rPr>
      <w:rFonts w:cs="Times New Roman"/>
    </w:rPr>
  </w:style>
  <w:style w:type="paragraph" w:customStyle="1" w:styleId="CharChar1CharCharCharChar">
    <w:name w:val="Char Char1 Char Char Char Char"/>
    <w:basedOn w:val="Norml"/>
    <w:rsid w:val="0052001C"/>
    <w:pPr>
      <w:spacing w:after="160" w:line="240" w:lineRule="exact"/>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244457">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359</Words>
  <Characters>2479</Characters>
  <Application>Microsoft Office Word</Application>
  <DocSecurity>4</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2833</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2013-06-10T08:20:00Z</cp:lastPrinted>
  <dcterms:created xsi:type="dcterms:W3CDTF">2016-12-05T14:53:00Z</dcterms:created>
  <dcterms:modified xsi:type="dcterms:W3CDTF">2016-12-05T14:53:00Z</dcterms:modified>
</cp:coreProperties>
</file>